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Standardfortrydelsesformular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  <w:t xml:space="preserve">enne formular udfyldes og returneres kun, hvis fortrydelsesretten gøres gældende. Fortrydelsesretten er 14 dage efter modtagelse af varen, fragtomkostninger ved fortrydelse står for købers regning.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Formularen sendes til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info@saladini.dk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Varen/varene sendes til: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Saladini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Skydt-Nielsen ApS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Egebjergvej 167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8220 Brabrand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Jeg/vi meddeler herved, at jeg/vi ønsker at gøre fortrydelsesretten gældende i forbindelse med min/vores købsaftale om følgende varer: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Bestilt den: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Ordre nr.: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Forbrugerens navn: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Forbrugerens adresse: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Dato: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5" Type="http://schemas.openxmlformats.org/officeDocument/2006/relationships/hyperlink" Target="mailto:info@saladini.dk" TargetMode="External"/></Relationships>
</file>